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0331 - FILOLOGIA CLASSICA E MODERNA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0331-19-19</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CLA - CURRICULUM CLASSICO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LET0105 - FILOLOGIA CLASSICA - CLASSICAL PHILOLOGY</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POTENZA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2</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L-FIL-LET/05 - FILOLOGIA CLASSICA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B - Caratterizzante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50329 - Discipline linguistiche, filologiche e metodologiche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28637</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ITALIANO</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ITALIAN</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In conformità agli obiettivi formativi del corso di laurea e del curriculum classico (con speciale riferimento alle solide basi sui processi di produzione e comunicazione in ambito sia letterario sia culturale), il corso si propone di indagare lo specifico genere letterario della declamazione in Grecia e a Roma.</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Conoscenza e capacità di comprensione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conoscenze sulla lingua greca e latina postclassiche, sulla declamazione antica, sulla presentazione orale e diffusione di un particolare genere letterario, sul rapporto tra letteratura greca e latina.</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Capacità di applicare conoscenza e comprensione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Riconoscere i meccanismi di conservazione e perdita della letteratura antica; saper affrontare nell'originale testi greci e latini confrontandosi con i problemi linguistici, storici ed esegetici.</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Autonomia di giudizio</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Attraverso l'analisi di specifici problemi, il corso mira inoltre a sviluppare le cosiddette "abilità trasversali" e l'autonomia di giudizio. 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Abilità comunicative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Lo studente deve avere la capacità di spiegare e argomentare il modo in cui comprende e traduce i testi declamatori, con proprietà di linguaggio e di concetti.</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According to the general educational goals of the "Classical and Modern Philology" Program and the "Classics" sub-program (with a special attention given to the "basic knowledge of the production and communication processes in literature and culture"), the course aims at investigating a specific literary genre (declamation) in Greece and at Rome. </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Knowledge and understanding:</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knowledge of postclassical Greek and Latin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knowledge of ancient declamation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knowledge of the mechanisms of the oral presentation and diffusion of a specific genre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knowledge of the relationship between Greek and Latin literatures.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Applying knowledge and understanding:</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a good capacity of recognizing the mechanisms of conservation and loss of ancient texts</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a good capacity of dealing with ancient Greek and Latin texts in their original form, by addressing linguistic, historical and interpretational problems.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Making judgement: The course also aims, through instances of problem-solving, at developing the so-called "transversal skills" and independent thinking. By confronting themselves with ancient texts,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Communication: Students will be requested to be able to explain and argue the way they understand and translate the texts of the declamations read in class, in an appropriate language and with an adequate conceptualization.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 </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Lifelong learning skills: At the end of the course, students should develop a critical attitude in dealing with the interpretation of texts originating in a different culture and thus they should improve their capacity of solving complex problems.</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Buona conoscenza della lingua greca e latina.</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 good knowledge of ancient Greek and Latin.</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Inizialmente si discuterà dell'origine della declamazione antica. Quindi si leggeranno in parallelo brani da una declamazione libaniana (decl. 46) e da una pseudoquintilianea (decl. mai. 19).</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In the first two or three classes, we shall discuss upon the origins of ancient declamation. Then, we shall read, in parallel, some passages from a declamation belonging to the corpus Libanianum (decl. 46) and from a piece contained among the declamations ascribed to Quintilian (decl. mai. 19).</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Il corso consiste di 30 ore di lezioni frontali, ma intrecciate con esercitazioni, in quanto verteranno su una lettura commentata di testi su cui gli studenti sono chiamati ad esprimere pareri.</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Il docente commenterà i testi, invitando gli studenti a prender parte al dibattito sui problemi che essi pongono. Una attiva partecipazione degli studenti sarà apprezzata; e il docente suggerirà anche ulteriori letture e ricerche facoltative.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Theoretical lessons (interwoven with Classroom tutorials).</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The teacher will comment upon the texts, inviting the students to take part to the debate on the problems they pose. An active participation of the students will be highly appreciated; and the teacher will also suggest some facultative further readings and research.</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Esame orale.</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Lo studente sarà invitato a fare i suoi commenti su uno o più testi analizzati durante il corso, illustrando i problemi che essi pongono. Un ripensamento personale, come pure ricerche speciali su temi suggeriti durante il corso, saranno apprezzati. In particolare, sarà gradita la presentazione di una breve tesina di approfondimento degli argomenti sviluppati nel corso</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Oral examination.</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The student will be invited to make his/her personal comments on one or more of the texts analyzed during the course, illustrating the problems they pose. A personal rethinking, as well as special researches on themes suggested during the course, also in the form of a written paper, will be appreciated.</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I testi di Libanio e dello pseudo-Quintiliano saranno forniti in fotocopia.</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Letture consigliate (copie saranno disponibili):</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D.A. Russell, Greek Declamation, Cambridge, CUP, 1983</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 Lentano, La declamazione a Roma. Breve profilo di un genere minore, Palermo, Palumbo, 2017</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 Lentano (a cura di), La declamazione latina, Napoli, Liguori, 2015</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B. Breij, [Quintilian]. The Son Suspected of Incest with His Mother (Major Declamations, 18-19), Cassino, Università di Cassino, 2015</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Libanius's and pseudo-Quintilian's texts will be put at the students' disposal in photocopies.</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Suggested readings (copies will be made available):</w:t>
            </w: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D.A. Russell, Greek Declamation (Cambridge, CUP, 1983)</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 Lentano, La declamazione a Roma. Breve profilo di un genere minore (Palermo, Palumbo, 2017)</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M. Lentano (ed.), La declamazione latina (Naples, Liguori, 2015)</w:t>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rPr>
              <w:t xml:space="preserve">B. Breij, [Quintilian]. The Son Suspected of Incest with His Mother (Major Declamations, 18-19) (Cassino, Università di Cassino, 2015)</w:t>
            </w:r>
          </w:p>
          <w:p>
            <w:pPr>
              <w:rPr>
                <w:rFonts w:ascii="Arial" w:hAnsi="Arial" w:eastAsia="Times New Roman" w:cs="Times New Roman"/>
                <w:color w:val="000000"/>
              </w:rPr>
            </w:pPr>
          </w:p>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rPr>
              <w:t xml:space="preserve">23.I, 3.III.2021</w:t>
            </w:r>
          </w:p>
          <w:p>
            <w:pPr>
              <w:rPr>
                <w:rFonts w:ascii="Arial" w:hAnsi="Arial" w:eastAsia="Times New Roman" w:cs="Times New Roman"/>
                <w:color w:val="000000"/>
              </w:rPr>
            </w:pPr>
            <w:r>
              <w:rPr>
                <w:rFonts w:ascii="Arial" w:hAnsi="Arial" w:eastAsia="Times New Roman" w:cs="Times New Roman"/>
                <w:color w:val="000000"/>
              </w:rPr>
              <w:t xml:space="preserve">18.VI, 9.VII, 30.VII.2021</w:t>
            </w:r>
          </w:p>
          <w:p>
            <w:pPr>
              <w:rPr>
                <w:rFonts w:ascii="Arial" w:hAnsi="Arial" w:eastAsia="Times New Roman" w:cs="Times New Roman"/>
                <w:color w:val="000000"/>
              </w:rPr>
            </w:pPr>
            <w:r>
              <w:rPr>
                <w:rFonts w:ascii="Arial" w:hAnsi="Arial" w:eastAsia="Times New Roman" w:cs="Times New Roman"/>
                <w:color w:val="000000"/>
              </w:rPr>
              <w:t xml:space="preserve">17.IX, 22.X, 26.XI.2021</w:t>
            </w:r>
          </w:p>
        </w:tc>
        <w:tc>
          <w:p>
            <w:pPr>
              <w:rPr>
                <w:rFonts w:ascii="Arial" w:hAnsi="Arial" w:eastAsia="Times New Roman" w:cs="Times New Roman"/>
                <w:color w:val="000000"/>
              </w:rPr>
            </w:pPr>
            <w:r>
              <w:rPr>
                <w:rFonts w:ascii="Arial" w:hAnsi="Arial" w:eastAsia="Times New Roman" w:cs="Times New Roman"/>
                <w:color w:val="000000"/>
              </w:rPr>
              <w:t xml:space="preserve">23.I, 3.III.2021</w:t>
            </w:r>
          </w:p>
          <w:p>
            <w:pPr>
              <w:rPr>
                <w:rFonts w:ascii="Arial" w:hAnsi="Arial" w:eastAsia="Times New Roman" w:cs="Times New Roman"/>
                <w:color w:val="000000"/>
              </w:rPr>
            </w:pPr>
            <w:r>
              <w:rPr>
                <w:rFonts w:ascii="Arial" w:hAnsi="Arial" w:eastAsia="Times New Roman" w:cs="Times New Roman"/>
                <w:color w:val="000000"/>
              </w:rPr>
              <w:t xml:space="preserve">18.VI, 9.VII, 30.VII.2021</w:t>
            </w:r>
          </w:p>
          <w:p>
            <w:pPr>
              <w:rPr>
                <w:rFonts w:ascii="Arial" w:hAnsi="Arial" w:eastAsia="Times New Roman" w:cs="Times New Roman"/>
                <w:color w:val="000000"/>
              </w:rPr>
            </w:pPr>
            <w:r>
              <w:rPr>
                <w:rFonts w:ascii="Arial" w:hAnsi="Arial" w:eastAsia="Times New Roman" w:cs="Times New Roman"/>
                <w:color w:val="000000"/>
              </w:rPr>
              <w:t xml:space="preserve">17.IX, 22.X, 26.XI.2021</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La frequenza è fortemente consigliata;  gli studenti impossibilitati a frequentare sono pregati di prendere contatto col docente ALL'INIZIO DEL SEMESTRE.</w:t>
            </w:r>
          </w:p>
          <w:p>
            <w:pPr>
              <w:rPr>
                <w:rFonts w:ascii="Arial" w:hAnsi="Arial" w:eastAsia="Times New Roman" w:cs="Times New Roman"/>
                <w:color w:val="000000"/>
              </w:rPr>
            </w:pPr>
          </w:p>
          <w:p>
            <w:pPr>
              <w:rPr>
                <w:rFonts w:ascii="Arial" w:hAnsi="Arial" w:eastAsia="Times New Roman" w:cs="Times New Roman"/>
                <w:color w:val="000000"/>
              </w:rPr>
            </w:pPr>
          </w:p>
        </w:tc>
        <w:tc>
          <w:p>
            <w:pPr>
              <w:rPr>
                <w:rFonts w:ascii="Arial" w:hAnsi="Arial" w:eastAsia="Times New Roman" w:cs="Times New Roman"/>
                <w:color w:val="000000"/>
              </w:rPr>
            </w:pPr>
            <w:r>
              <w:rPr>
                <w:rFonts w:ascii="Arial" w:hAnsi="Arial" w:eastAsia="Times New Roman" w:cs="Times New Roman"/>
                <w:color w:val="000000"/>
                <w:sz w:val="24"/>
                <w:szCs w:val="24"/>
              </w:rPr>
              <w:t xml:space="preserve">Attendance is highly recommended; those students who are not in condition of attending the course are invited to contact the teacher AT THE BEGINNING OF THE TERM.</w:t>
            </w:r>
          </w:p>
          <w:p>
            <w:pPr>
              <w:rPr>
                <w:rFonts w:ascii="Arial" w:hAnsi="Arial" w:eastAsia="Times New Roman" w:cs="Times New Roman"/>
                <w:color w:val="000000"/>
              </w:rPr>
            </w:pPr>
          </w:p>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